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52"/>
          <w:szCs w:val="52"/>
        </w:rPr>
        <w:t>2022年湖南省行业职业技能竞赛·全省住建行业（钢筋工）职业技能竞赛</w:t>
      </w:r>
    </w:p>
    <w:p>
      <w:pPr>
        <w:jc w:val="center"/>
        <w:rPr>
          <w:rFonts w:ascii="宋体" w:hAnsi="宋体" w:eastAsia="宋体" w:cs="宋体"/>
          <w:b/>
          <w:bCs/>
          <w:sz w:val="52"/>
          <w:szCs w:val="52"/>
        </w:rPr>
      </w:pPr>
    </w:p>
    <w:p/>
    <w:p/>
    <w:p/>
    <w:p>
      <w:pPr>
        <w:jc w:val="center"/>
        <w:rPr>
          <w:b/>
          <w:bCs/>
          <w:sz w:val="96"/>
          <w:szCs w:val="96"/>
        </w:rPr>
      </w:pPr>
      <w:r>
        <w:rPr>
          <w:rFonts w:hint="eastAsia"/>
          <w:b/>
          <w:bCs/>
          <w:sz w:val="96"/>
          <w:szCs w:val="96"/>
        </w:rPr>
        <w:t>技</w:t>
      </w:r>
    </w:p>
    <w:p>
      <w:pPr>
        <w:jc w:val="center"/>
        <w:rPr>
          <w:b/>
          <w:bCs/>
          <w:sz w:val="96"/>
          <w:szCs w:val="96"/>
        </w:rPr>
      </w:pPr>
      <w:r>
        <w:rPr>
          <w:rFonts w:hint="eastAsia"/>
          <w:b/>
          <w:bCs/>
          <w:sz w:val="96"/>
          <w:szCs w:val="96"/>
        </w:rPr>
        <w:t>术</w:t>
      </w:r>
    </w:p>
    <w:p>
      <w:pPr>
        <w:jc w:val="center"/>
        <w:rPr>
          <w:b/>
          <w:bCs/>
          <w:sz w:val="96"/>
          <w:szCs w:val="96"/>
        </w:rPr>
      </w:pPr>
      <w:r>
        <w:rPr>
          <w:rFonts w:hint="eastAsia"/>
          <w:b/>
          <w:bCs/>
          <w:sz w:val="96"/>
          <w:szCs w:val="96"/>
        </w:rPr>
        <w:t>文</w:t>
      </w:r>
    </w:p>
    <w:p>
      <w:pPr>
        <w:jc w:val="center"/>
        <w:rPr>
          <w:b/>
          <w:bCs/>
          <w:sz w:val="96"/>
          <w:szCs w:val="96"/>
        </w:rPr>
      </w:pPr>
      <w:r>
        <w:rPr>
          <w:rFonts w:hint="eastAsia"/>
          <w:b/>
          <w:bCs/>
          <w:sz w:val="96"/>
          <w:szCs w:val="96"/>
        </w:rPr>
        <w:t>件</w:t>
      </w:r>
    </w:p>
    <w:p>
      <w:pPr>
        <w:jc w:val="center"/>
        <w:rPr>
          <w:b/>
          <w:bCs/>
          <w:sz w:val="96"/>
          <w:szCs w:val="96"/>
        </w:rPr>
      </w:pPr>
    </w:p>
    <w:p>
      <w:pPr>
        <w:jc w:val="center"/>
        <w:rPr>
          <w:b/>
          <w:bCs/>
          <w:sz w:val="96"/>
          <w:szCs w:val="96"/>
        </w:rPr>
      </w:pPr>
    </w:p>
    <w:p>
      <w:pPr>
        <w:jc w:val="center"/>
        <w:rPr>
          <w:rFonts w:ascii="宋体" w:hAnsi="宋体" w:eastAsia="宋体" w:cs="宋体"/>
          <w:b/>
          <w:bCs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z w:val="48"/>
          <w:szCs w:val="48"/>
        </w:rPr>
        <w:t>2022年8月</w:t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</w:p>
    <w:p>
      <w:pPr>
        <w:rPr>
          <w:rFonts w:ascii="宋体" w:hAnsi="宋体" w:eastAsia="宋体" w:cs="宋体"/>
          <w:b/>
          <w:bCs/>
          <w:sz w:val="28"/>
          <w:szCs w:val="28"/>
        </w:rPr>
      </w:pPr>
    </w:p>
    <w:p>
      <w:pPr>
        <w:rPr>
          <w:rFonts w:ascii="宋体" w:hAnsi="宋体" w:eastAsia="宋体" w:cs="宋体"/>
          <w:b/>
          <w:bCs/>
          <w:sz w:val="28"/>
          <w:szCs w:val="28"/>
        </w:rPr>
      </w:pPr>
    </w:p>
    <w:p>
      <w:pPr>
        <w:numPr>
          <w:ilvl w:val="0"/>
          <w:numId w:val="1"/>
        </w:numPr>
        <w:spacing w:line="288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项目介绍</w:t>
      </w:r>
    </w:p>
    <w:p>
      <w:pPr>
        <w:spacing w:line="288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1.1项目描述</w:t>
      </w:r>
    </w:p>
    <w:p>
      <w:pPr>
        <w:spacing w:before="170" w:line="288" w:lineRule="auto"/>
        <w:ind w:left="23" w:firstLine="414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pacing w:val="16"/>
          <w:sz w:val="24"/>
        </w:rPr>
        <w:t>钢筋</w:t>
      </w:r>
      <w:r>
        <w:rPr>
          <w:rFonts w:ascii="宋体" w:hAnsi="宋体" w:eastAsia="宋体" w:cs="宋体"/>
          <w:spacing w:val="8"/>
          <w:sz w:val="24"/>
        </w:rPr>
        <w:t>是建筑工程钢筋混凝土构件主要受力工作材料。钢筋工是使用工具、机械及设备，</w:t>
      </w:r>
      <w:r>
        <w:rPr>
          <w:rFonts w:ascii="宋体" w:hAnsi="宋体" w:eastAsia="宋体" w:cs="宋体"/>
          <w:spacing w:val="14"/>
          <w:sz w:val="24"/>
        </w:rPr>
        <w:t>按照</w:t>
      </w:r>
      <w:r>
        <w:rPr>
          <w:rFonts w:ascii="宋体" w:hAnsi="宋体" w:eastAsia="宋体" w:cs="宋体"/>
          <w:spacing w:val="9"/>
          <w:sz w:val="24"/>
        </w:rPr>
        <w:t>技</w:t>
      </w:r>
      <w:r>
        <w:rPr>
          <w:rFonts w:ascii="宋体" w:hAnsi="宋体" w:eastAsia="宋体" w:cs="宋体"/>
          <w:spacing w:val="7"/>
          <w:sz w:val="24"/>
        </w:rPr>
        <w:t>术规范</w:t>
      </w:r>
      <w:r>
        <w:rPr>
          <w:rFonts w:hint="eastAsia" w:ascii="宋体" w:hAnsi="宋体" w:eastAsia="宋体" w:cs="宋体"/>
          <w:spacing w:val="8"/>
          <w:sz w:val="24"/>
        </w:rPr>
        <w:t>和</w:t>
      </w:r>
      <w:r>
        <w:rPr>
          <w:rFonts w:ascii="宋体" w:hAnsi="宋体" w:eastAsia="宋体" w:cs="宋体"/>
          <w:spacing w:val="8"/>
          <w:sz w:val="24"/>
        </w:rPr>
        <w:t>操作工艺要求，将设计</w:t>
      </w:r>
      <w:r>
        <w:rPr>
          <w:rFonts w:hint="eastAsia" w:ascii="宋体" w:hAnsi="宋体" w:eastAsia="宋体" w:cs="宋体"/>
          <w:spacing w:val="8"/>
          <w:sz w:val="24"/>
        </w:rPr>
        <w:t>施工</w:t>
      </w:r>
      <w:r>
        <w:rPr>
          <w:rFonts w:ascii="宋体" w:hAnsi="宋体" w:eastAsia="宋体" w:cs="宋体"/>
          <w:spacing w:val="8"/>
          <w:sz w:val="24"/>
        </w:rPr>
        <w:t>图的钢筋，通过除锈调直、配料、切断、连接、</w:t>
      </w:r>
      <w:r>
        <w:rPr>
          <w:rFonts w:ascii="宋体" w:hAnsi="宋体" w:eastAsia="宋体" w:cs="宋体"/>
          <w:spacing w:val="7"/>
          <w:sz w:val="24"/>
        </w:rPr>
        <w:t>弯</w:t>
      </w:r>
      <w:r>
        <w:rPr>
          <w:rFonts w:ascii="宋体" w:hAnsi="宋体" w:eastAsia="宋体" w:cs="宋体"/>
          <w:spacing w:val="9"/>
          <w:sz w:val="24"/>
        </w:rPr>
        <w:t>曲等加工成型，再安装绑扎成钢筋骨架的从业人员。</w:t>
      </w:r>
    </w:p>
    <w:p>
      <w:pPr>
        <w:spacing w:line="288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1.2竞赛目的</w:t>
      </w:r>
    </w:p>
    <w:p>
      <w:pPr>
        <w:spacing w:line="288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为大力弘扬劳模精神、劳动精神和工匠精神，努力营造尊重劳动、尊重技术、尊重工匠的良好风尚，激励和引导全省广大建筑技能工人学技术、精技术、提技能，助力我省“三高四新”战略目标实现提供人才保障。</w:t>
      </w:r>
      <w:r>
        <w:rPr>
          <w:rFonts w:ascii="宋体" w:hAnsi="宋体" w:eastAsia="宋体" w:cs="宋体"/>
          <w:sz w:val="24"/>
        </w:rPr>
        <w:t>结合现行建筑工程国家和行业标准及生产实际情况，考核参赛选手职业综合能力，并对技能人才培养起到示范指导作用。</w:t>
      </w:r>
    </w:p>
    <w:p>
      <w:pPr>
        <w:spacing w:line="288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1.3竞赛内容</w:t>
      </w:r>
    </w:p>
    <w:p>
      <w:pPr>
        <w:spacing w:line="288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竞赛内容包括理论知识竞赛（包括基础理论知识和钢筋配料单编制）和操作技能竞赛两部分。</w:t>
      </w:r>
    </w:p>
    <w:p>
      <w:pPr>
        <w:spacing w:line="288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1.4竞赛形式</w:t>
      </w:r>
    </w:p>
    <w:p>
      <w:pPr>
        <w:spacing w:line="288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理论知识</w:t>
      </w:r>
      <w:r>
        <w:rPr>
          <w:rFonts w:hint="eastAsia" w:ascii="宋体" w:hAnsi="宋体" w:eastAsia="宋体" w:cs="宋体"/>
          <w:sz w:val="24"/>
        </w:rPr>
        <w:t>竞</w:t>
      </w:r>
      <w:r>
        <w:rPr>
          <w:rFonts w:ascii="宋体" w:hAnsi="宋体" w:eastAsia="宋体" w:cs="宋体"/>
          <w:sz w:val="24"/>
        </w:rPr>
        <w:t>赛</w:t>
      </w:r>
      <w:r>
        <w:rPr>
          <w:rFonts w:hint="eastAsia" w:ascii="宋体" w:hAnsi="宋体" w:eastAsia="宋体" w:cs="宋体"/>
          <w:sz w:val="24"/>
        </w:rPr>
        <w:t>由参赛选手独立完成，</w:t>
      </w:r>
      <w:r>
        <w:rPr>
          <w:rFonts w:ascii="宋体" w:hAnsi="宋体" w:eastAsia="宋体" w:cs="宋体"/>
          <w:sz w:val="24"/>
        </w:rPr>
        <w:t>操作</w:t>
      </w:r>
      <w:r>
        <w:rPr>
          <w:rFonts w:hint="eastAsia" w:ascii="宋体" w:hAnsi="宋体" w:eastAsia="宋体" w:cs="宋体"/>
          <w:sz w:val="24"/>
        </w:rPr>
        <w:t>技能竞</w:t>
      </w:r>
      <w:r>
        <w:rPr>
          <w:rFonts w:ascii="宋体" w:hAnsi="宋体" w:eastAsia="宋体" w:cs="宋体"/>
          <w:sz w:val="24"/>
        </w:rPr>
        <w:t>赛</w:t>
      </w:r>
      <w:r>
        <w:rPr>
          <w:rFonts w:hint="eastAsia" w:ascii="宋体" w:hAnsi="宋体" w:eastAsia="宋体" w:cs="宋体"/>
          <w:sz w:val="24"/>
        </w:rPr>
        <w:t>由团队参赛选手2人协作完成</w:t>
      </w:r>
      <w:r>
        <w:rPr>
          <w:rFonts w:ascii="宋体" w:hAnsi="宋体" w:eastAsia="宋体" w:cs="宋体"/>
          <w:sz w:val="24"/>
        </w:rPr>
        <w:t>。</w:t>
      </w:r>
    </w:p>
    <w:p>
      <w:pPr>
        <w:spacing w:line="288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1.5成绩计算</w:t>
      </w:r>
    </w:p>
    <w:p>
      <w:pPr>
        <w:spacing w:line="288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1．竞赛成绩由理论知识考试成绩和</w:t>
      </w:r>
      <w:r>
        <w:rPr>
          <w:rFonts w:hint="eastAsia" w:ascii="宋体" w:hAnsi="宋体" w:eastAsia="宋体" w:cs="宋体"/>
          <w:sz w:val="24"/>
        </w:rPr>
        <w:t>实</w:t>
      </w:r>
      <w:r>
        <w:rPr>
          <w:rFonts w:ascii="宋体" w:hAnsi="宋体" w:eastAsia="宋体" w:cs="宋体"/>
          <w:sz w:val="24"/>
        </w:rPr>
        <w:t>操成绩两部分组成。</w:t>
      </w:r>
    </w:p>
    <w:p>
      <w:pPr>
        <w:spacing w:line="288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2．理论知识考试与</w:t>
      </w:r>
      <w:r>
        <w:rPr>
          <w:rFonts w:hint="eastAsia" w:ascii="宋体" w:hAnsi="宋体" w:eastAsia="宋体" w:cs="宋体"/>
          <w:sz w:val="24"/>
        </w:rPr>
        <w:t>实操</w:t>
      </w:r>
      <w:r>
        <w:rPr>
          <w:rFonts w:ascii="宋体" w:hAnsi="宋体" w:eastAsia="宋体" w:cs="宋体"/>
          <w:sz w:val="24"/>
        </w:rPr>
        <w:t>均以百分制计算。理论知识考试成绩按30%</w:t>
      </w:r>
      <w:r>
        <w:rPr>
          <w:rFonts w:hint="eastAsia" w:ascii="宋体" w:hAnsi="宋体" w:eastAsia="宋体" w:cs="宋体"/>
          <w:sz w:val="24"/>
        </w:rPr>
        <w:t>，实操</w:t>
      </w:r>
      <w:r>
        <w:rPr>
          <w:rFonts w:ascii="宋体" w:hAnsi="宋体" w:eastAsia="宋体" w:cs="宋体"/>
          <w:sz w:val="24"/>
        </w:rPr>
        <w:t>成绩按70%计入个人总成绩。</w:t>
      </w:r>
    </w:p>
    <w:p>
      <w:pPr>
        <w:spacing w:line="288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3．个人竞赛排名办法</w:t>
      </w:r>
    </w:p>
    <w:p>
      <w:pPr>
        <w:spacing w:line="288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按照个人总成绩决定竞赛名次，参赛选手的个人总成绩相同时，按</w:t>
      </w:r>
      <w:r>
        <w:rPr>
          <w:rFonts w:hint="eastAsia" w:ascii="宋体" w:hAnsi="宋体" w:eastAsia="宋体" w:cs="宋体"/>
          <w:sz w:val="24"/>
        </w:rPr>
        <w:t>实操</w:t>
      </w:r>
      <w:r>
        <w:rPr>
          <w:rFonts w:ascii="宋体" w:hAnsi="宋体" w:eastAsia="宋体" w:cs="宋体"/>
          <w:sz w:val="24"/>
        </w:rPr>
        <w:t>成绩由高到低排序。</w:t>
      </w:r>
      <w:r>
        <w:rPr>
          <w:rFonts w:hint="eastAsia" w:ascii="宋体" w:hAnsi="宋体" w:eastAsia="宋体" w:cs="宋体"/>
          <w:sz w:val="24"/>
        </w:rPr>
        <w:t>实操</w:t>
      </w:r>
      <w:r>
        <w:rPr>
          <w:rFonts w:ascii="宋体" w:hAnsi="宋体" w:eastAsia="宋体" w:cs="宋体"/>
          <w:sz w:val="24"/>
        </w:rPr>
        <w:t>成绩仍然相同时，则以</w:t>
      </w:r>
      <w:r>
        <w:rPr>
          <w:rFonts w:hint="eastAsia" w:ascii="宋体" w:hAnsi="宋体" w:eastAsia="宋体" w:cs="宋体"/>
          <w:sz w:val="24"/>
        </w:rPr>
        <w:t>实操</w:t>
      </w:r>
      <w:r>
        <w:rPr>
          <w:rFonts w:ascii="宋体" w:hAnsi="宋体" w:eastAsia="宋体" w:cs="宋体"/>
          <w:sz w:val="24"/>
        </w:rPr>
        <w:t>完成时间短者排名靠前。</w:t>
      </w:r>
    </w:p>
    <w:p>
      <w:pPr>
        <w:spacing w:line="288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4．团体成绩记分办法</w:t>
      </w:r>
    </w:p>
    <w:p>
      <w:pPr>
        <w:spacing w:line="288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各参赛队的团体总分为各参赛队</w:t>
      </w:r>
      <w:r>
        <w:rPr>
          <w:rFonts w:hint="eastAsia" w:ascii="宋体" w:hAnsi="宋体" w:eastAsia="宋体" w:cs="宋体"/>
          <w:sz w:val="24"/>
        </w:rPr>
        <w:t>2</w:t>
      </w:r>
      <w:r>
        <w:rPr>
          <w:rFonts w:ascii="宋体" w:hAnsi="宋体" w:eastAsia="宋体" w:cs="宋体"/>
          <w:sz w:val="24"/>
        </w:rPr>
        <w:t>名</w:t>
      </w:r>
      <w:bookmarkStart w:id="0" w:name="_GoBack"/>
      <w:bookmarkEnd w:id="0"/>
      <w:r>
        <w:rPr>
          <w:rFonts w:ascii="宋体" w:hAnsi="宋体" w:eastAsia="宋体" w:cs="宋体"/>
          <w:sz w:val="24"/>
        </w:rPr>
        <w:t>选手的个人总成绩之和。团体总分相同者，比较选手个人名次，个人名次在前的，其团体名次在前，以此类推，直至分出先后。</w:t>
      </w:r>
    </w:p>
    <w:p>
      <w:pPr>
        <w:spacing w:line="288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2.职业要求</w:t>
      </w:r>
    </w:p>
    <w:p>
      <w:pPr>
        <w:spacing w:line="288" w:lineRule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2.1理论知识</w:t>
      </w:r>
    </w:p>
    <w:p>
      <w:pPr>
        <w:spacing w:line="288" w:lineRule="auto"/>
        <w:ind w:firstLine="496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4"/>
          <w:position w:val="2"/>
          <w:sz w:val="24"/>
          <w:highlight w:val="none"/>
        </w:rPr>
        <w:t>1.识图和建筑构造的基本知识；</w:t>
      </w:r>
    </w:p>
    <w:p>
      <w:pPr>
        <w:spacing w:before="30" w:line="288" w:lineRule="auto"/>
        <w:ind w:firstLine="512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8"/>
          <w:position w:val="2"/>
          <w:sz w:val="24"/>
          <w:highlight w:val="none"/>
        </w:rPr>
        <w:t>2.常规钢筋混凝土构件的结构布置图和配筋图知识；</w:t>
      </w:r>
    </w:p>
    <w:p>
      <w:pPr>
        <w:spacing w:before="27" w:line="288" w:lineRule="auto"/>
        <w:ind w:firstLine="496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4"/>
          <w:position w:val="2"/>
          <w:sz w:val="24"/>
          <w:highlight w:val="none"/>
        </w:rPr>
        <w:t>3.钢筋品种、性能、规格、型号知识；</w:t>
      </w:r>
    </w:p>
    <w:p>
      <w:pPr>
        <w:spacing w:before="30" w:line="288" w:lineRule="auto"/>
        <w:ind w:firstLine="504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6"/>
          <w:position w:val="2"/>
          <w:sz w:val="24"/>
          <w:highlight w:val="none"/>
        </w:rPr>
        <w:t>4.钢筋进场验收与保管知识；</w:t>
      </w:r>
    </w:p>
    <w:p>
      <w:pPr>
        <w:spacing w:before="68" w:line="288" w:lineRule="auto"/>
        <w:ind w:firstLine="504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6"/>
          <w:sz w:val="24"/>
          <w:highlight w:val="none"/>
        </w:rPr>
        <w:t>5.常用钢筋加工的机具使用和保养知识；</w:t>
      </w:r>
    </w:p>
    <w:p>
      <w:pPr>
        <w:spacing w:before="66" w:line="288" w:lineRule="auto"/>
        <w:ind w:firstLine="420" w:firstLineChars="200"/>
        <w:rPr>
          <w:rFonts w:asciiTheme="minorEastAsia" w:hAnsiTheme="minorEastAsia" w:cstheme="minorEastAsia"/>
          <w:spacing w:val="6"/>
          <w:sz w:val="24"/>
          <w:highlight w:val="none"/>
        </w:rPr>
      </w:pPr>
      <w:r>
        <w:rPr>
          <w:rFonts w:hint="eastAsia"/>
          <w:highlight w:val="none"/>
        </w:rPr>
        <w:t xml:space="preserve"> </w:t>
      </w:r>
      <w:r>
        <w:rPr>
          <w:rFonts w:hint="eastAsia" w:asciiTheme="minorEastAsia" w:hAnsiTheme="minorEastAsia" w:cstheme="minorEastAsia"/>
          <w:sz w:val="24"/>
          <w:highlight w:val="none"/>
        </w:rPr>
        <w:t>6</w:t>
      </w:r>
      <w:r>
        <w:rPr>
          <w:rFonts w:hint="eastAsia" w:asciiTheme="minorEastAsia" w:hAnsiTheme="minorEastAsia" w:cstheme="minorEastAsia"/>
          <w:spacing w:val="6"/>
          <w:sz w:val="24"/>
          <w:highlight w:val="none"/>
        </w:rPr>
        <w:t>.钢筋配料单编制及放大样图知识；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7.熟悉钢筋加工机械的性能和使用方法；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8.钢筋工程（检验批、主控项目、一般项目）施工质量验收知识；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9.建筑结构抗震设防基本知识；</w:t>
      </w:r>
    </w:p>
    <w:p>
      <w:pPr>
        <w:spacing w:before="65" w:line="288" w:lineRule="auto"/>
        <w:ind w:firstLine="496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4"/>
          <w:sz w:val="24"/>
          <w:highlight w:val="none"/>
        </w:rPr>
        <w:t>10.安全生产知识；</w:t>
      </w:r>
    </w:p>
    <w:p>
      <w:pPr>
        <w:spacing w:before="65" w:line="288" w:lineRule="auto"/>
        <w:ind w:firstLine="504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6"/>
          <w:sz w:val="24"/>
          <w:highlight w:val="none"/>
        </w:rPr>
        <w:t>11.相关法律、法规知</w:t>
      </w:r>
      <w:r>
        <w:rPr>
          <w:rFonts w:hint="eastAsia" w:ascii="宋体" w:hAnsi="宋体" w:eastAsia="宋体" w:cs="宋体"/>
          <w:spacing w:val="3"/>
          <w:sz w:val="24"/>
          <w:highlight w:val="none"/>
        </w:rPr>
        <w:t>识。</w:t>
      </w:r>
    </w:p>
    <w:p>
      <w:pPr>
        <w:spacing w:line="288" w:lineRule="auto"/>
        <w:rPr>
          <w:rFonts w:ascii="宋体" w:hAnsi="宋体" w:eastAsia="宋体" w:cs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2.2操作技能</w:t>
      </w:r>
    </w:p>
    <w:p>
      <w:pPr>
        <w:spacing w:before="66" w:line="288" w:lineRule="auto"/>
        <w:ind w:firstLine="540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15"/>
          <w:sz w:val="24"/>
          <w:highlight w:val="none"/>
        </w:rPr>
        <w:t>1.按设计施工图开具钢筋配料单；按配料单下料；</w:t>
      </w:r>
    </w:p>
    <w:p>
      <w:pPr>
        <w:spacing w:before="65" w:line="288" w:lineRule="auto"/>
        <w:ind w:firstLine="512" w:firstLineChars="200"/>
        <w:rPr>
          <w:rFonts w:ascii="宋体" w:hAnsi="宋体" w:eastAsia="宋体" w:cs="宋体"/>
          <w:color w:val="000000" w:themeColor="text1"/>
          <w:spacing w:val="8"/>
          <w:sz w:val="24"/>
          <w:highlight w:val="none"/>
        </w:rPr>
      </w:pPr>
      <w:r>
        <w:rPr>
          <w:rFonts w:hint="eastAsia" w:ascii="宋体" w:hAnsi="宋体" w:eastAsia="宋体" w:cs="宋体"/>
          <w:color w:val="000000" w:themeColor="text1"/>
          <w:spacing w:val="8"/>
          <w:sz w:val="24"/>
          <w:highlight w:val="none"/>
        </w:rPr>
        <w:t>2.熟练使用钢筋机械；</w:t>
      </w:r>
    </w:p>
    <w:p>
      <w:pPr>
        <w:spacing w:before="66" w:line="288" w:lineRule="auto"/>
        <w:ind w:firstLine="532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13"/>
          <w:sz w:val="24"/>
          <w:highlight w:val="none"/>
        </w:rPr>
        <w:t>3.按图纸要求将钢筋加工成型；</w:t>
      </w:r>
    </w:p>
    <w:p>
      <w:pPr>
        <w:spacing w:before="65" w:line="288" w:lineRule="auto"/>
        <w:ind w:firstLine="524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pacing w:val="11"/>
          <w:sz w:val="24"/>
          <w:highlight w:val="none"/>
        </w:rPr>
        <w:t>4.钢筋弯钩、弯曲位置角度、钢筋布置等需符合现行规范标准；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5.统筹安排钢筋就位顺序，将钢筋骨架绑扎成型。</w:t>
      </w:r>
    </w:p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  <w:highlight w:val="none"/>
        </w:rPr>
        <w:t>3.赛项要求</w:t>
      </w:r>
    </w:p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  <w:highlight w:val="none"/>
        </w:rPr>
        <w:t>3.1赛题（示意图）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1.本图为某房建项目的基础承台钢筋图，其中图A</w:t>
      </w:r>
      <w:r>
        <w:rPr>
          <w:rFonts w:ascii="宋体" w:hAnsi="宋体" w:eastAsia="宋体" w:cs="宋体"/>
          <w:spacing w:val="12"/>
          <w:sz w:val="24"/>
          <w:highlight w:val="none"/>
        </w:rPr>
        <w:t>-A</w:t>
      </w:r>
      <w:r>
        <w:rPr>
          <w:rFonts w:hint="eastAsia" w:ascii="宋体" w:hAnsi="宋体" w:eastAsia="宋体" w:cs="宋体"/>
          <w:spacing w:val="12"/>
          <w:sz w:val="24"/>
          <w:highlight w:val="none"/>
        </w:rPr>
        <w:t>、B</w:t>
      </w:r>
      <w:r>
        <w:rPr>
          <w:rFonts w:ascii="宋体" w:hAnsi="宋体" w:eastAsia="宋体" w:cs="宋体"/>
          <w:spacing w:val="12"/>
          <w:sz w:val="24"/>
          <w:highlight w:val="none"/>
        </w:rPr>
        <w:t>-B</w:t>
      </w:r>
      <w:r>
        <w:rPr>
          <w:rFonts w:hint="eastAsia" w:ascii="宋体" w:hAnsi="宋体" w:eastAsia="宋体" w:cs="宋体"/>
          <w:spacing w:val="12"/>
          <w:sz w:val="24"/>
          <w:highlight w:val="none"/>
        </w:rPr>
        <w:t>为承台不同方向的截面图；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2.承台混凝土采用C3</w:t>
      </w:r>
      <w:r>
        <w:rPr>
          <w:rFonts w:ascii="宋体" w:hAnsi="宋体" w:eastAsia="宋体" w:cs="宋体"/>
          <w:spacing w:val="12"/>
          <w:sz w:val="24"/>
          <w:highlight w:val="none"/>
        </w:rPr>
        <w:t>0</w:t>
      </w:r>
      <w:r>
        <w:rPr>
          <w:rFonts w:hint="eastAsia" w:ascii="宋体" w:hAnsi="宋体" w:eastAsia="宋体" w:cs="宋体"/>
          <w:spacing w:val="12"/>
          <w:sz w:val="24"/>
          <w:highlight w:val="none"/>
        </w:rPr>
        <w:t>，其中</w:t>
      </w:r>
      <w:r>
        <w:rPr>
          <w:rFonts w:hint="eastAsia" w:ascii="宋体" w:hAnsi="??" w:eastAsia="宋体" w:cs="宋体"/>
          <w:color w:val="000000"/>
          <w:kern w:val="0"/>
          <w:sz w:val="24"/>
          <w:highlight w:val="none"/>
        </w:rPr>
        <w:t>①②③钢筋为三向环筋</w:t>
      </w:r>
      <w:r>
        <w:rPr>
          <w:rFonts w:hint="eastAsia" w:ascii="宋体" w:hAnsi="宋体" w:eastAsia="宋体" w:cs="宋体"/>
          <w:spacing w:val="12"/>
          <w:sz w:val="24"/>
          <w:highlight w:val="none"/>
        </w:rPr>
        <w:t>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 xml:space="preserve">3.承台钢筋保护层厚度取40mm，柱的钢筋保护层厚度取25mm； 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4.钢筋接头搭接长度、接头错开距离、钢筋锚固长度等均应符合规范要求；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5.本技术文件示意图中字母代表尺寸将在正式赛题中给出；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6.本次竞赛建筑结构采用六度抗震设防要求；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7.本次竞赛钢筋构件暂不考虑防雷接地相关因素；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8.正式赛题将在本技术文件示意图的基础上进行30％左右的变动；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9.由于考虑场地、设备、安全等因素，赛题可能与实际生产工作有不同之处。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drawing>
          <wp:inline distT="0" distB="0" distL="114300" distR="114300">
            <wp:extent cx="5272405" cy="4391025"/>
            <wp:effectExtent l="0" t="0" r="635" b="13335"/>
            <wp:docPr id="7" name="图片 7" descr="92430811efaa504ea492d89241d1d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2430811efaa504ea492d89241d1df9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drawing>
          <wp:inline distT="0" distB="0" distL="114300" distR="114300">
            <wp:extent cx="5266690" cy="3763010"/>
            <wp:effectExtent l="0" t="0" r="6350" b="1270"/>
            <wp:docPr id="8" name="图片 8" descr="887008d33fa72dce6d56717c9392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87008d33fa72dce6d56717c9392763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6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b/>
          <w:bCs/>
          <w:spacing w:val="12"/>
          <w:sz w:val="28"/>
          <w:szCs w:val="28"/>
        </w:rPr>
      </w:pPr>
      <w:r>
        <w:rPr>
          <w:rFonts w:hint="eastAsia" w:ascii="宋体" w:hAnsi="宋体" w:eastAsia="宋体" w:cs="宋体"/>
          <w:spacing w:val="12"/>
          <w:sz w:val="24"/>
        </w:rPr>
        <w:t xml:space="preserve">         </w:t>
      </w:r>
      <w:r>
        <w:rPr>
          <w:rFonts w:hint="eastAsia" w:ascii="宋体" w:hAnsi="宋体" w:eastAsia="宋体" w:cs="宋体"/>
          <w:spacing w:val="12"/>
          <w:sz w:val="24"/>
        </w:rPr>
        <w:drawing>
          <wp:inline distT="0" distB="0" distL="114300" distR="114300">
            <wp:extent cx="3709035" cy="3343275"/>
            <wp:effectExtent l="0" t="0" r="9525" b="9525"/>
            <wp:docPr id="9" name="图片 9" descr="cc5b10a19c90797f0b101bc4af69d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c5b10a19c90797f0b101bc4af69db9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9035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pacing w:val="12"/>
          <w:sz w:val="28"/>
          <w:szCs w:val="28"/>
        </w:rPr>
        <w:t xml:space="preserve">          </w:t>
      </w:r>
    </w:p>
    <w:p>
      <w:pPr>
        <w:rPr>
          <w:rFonts w:ascii="宋体" w:hAnsi="宋体" w:eastAsia="宋体" w:cs="宋体"/>
          <w:b/>
          <w:bCs/>
          <w:color w:val="FF0000"/>
          <w:spacing w:val="12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  <w:highlight w:val="none"/>
        </w:rPr>
        <w:t>3.2竞赛内容</w:t>
      </w:r>
    </w:p>
    <w:p>
      <w:pPr>
        <w:spacing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理论知识比赛包含基础理论知识和钢筋配料单编制两部分，其中基础理论知识题目从国家职业技能鉴定题库中抽取，钢筋配料单编制题目见正式赛题。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实操</w:t>
      </w:r>
      <w:r>
        <w:rPr>
          <w:rFonts w:ascii="宋体" w:hAnsi="宋体" w:eastAsia="宋体" w:cs="宋体"/>
          <w:spacing w:val="12"/>
          <w:sz w:val="24"/>
          <w:highlight w:val="none"/>
        </w:rPr>
        <w:t>赛题为一个</w:t>
      </w:r>
      <w:r>
        <w:rPr>
          <w:rFonts w:hint="eastAsia" w:ascii="宋体" w:hAnsi="宋体" w:eastAsia="宋体" w:cs="宋体"/>
          <w:spacing w:val="12"/>
          <w:sz w:val="24"/>
          <w:highlight w:val="none"/>
        </w:rPr>
        <w:t>钢筋混凝土桩基承台（带插筋）配筋图，请按要求完成柱箍筋下料制作、桩基承台钢筋及柱主筋寻料、绑扎</w:t>
      </w:r>
      <w:r>
        <w:rPr>
          <w:rFonts w:ascii="宋体" w:hAnsi="宋体" w:eastAsia="宋体" w:cs="宋体"/>
          <w:spacing w:val="12"/>
          <w:sz w:val="24"/>
          <w:highlight w:val="none"/>
        </w:rPr>
        <w:t>成型。统一采用双丝十字扣绑扎，上下交叉，缠绕匝数 2-3 扣。各钢筋交叉点尽数绑扎，不得漏绑。本题由</w:t>
      </w:r>
      <w:r>
        <w:rPr>
          <w:rFonts w:hint="eastAsia" w:ascii="宋体" w:hAnsi="宋体" w:eastAsia="宋体" w:cs="宋体"/>
          <w:spacing w:val="12"/>
          <w:sz w:val="24"/>
          <w:highlight w:val="none"/>
        </w:rPr>
        <w:t>两位</w:t>
      </w:r>
      <w:r>
        <w:rPr>
          <w:rFonts w:ascii="宋体" w:hAnsi="宋体" w:eastAsia="宋体" w:cs="宋体"/>
          <w:spacing w:val="12"/>
          <w:sz w:val="24"/>
          <w:highlight w:val="none"/>
        </w:rPr>
        <w:t>选手</w:t>
      </w:r>
      <w:r>
        <w:rPr>
          <w:rFonts w:hint="eastAsia" w:ascii="宋体" w:hAnsi="宋体" w:eastAsia="宋体" w:cs="宋体"/>
          <w:spacing w:val="12"/>
          <w:sz w:val="24"/>
          <w:highlight w:val="none"/>
        </w:rPr>
        <w:t>协作</w:t>
      </w:r>
      <w:r>
        <w:rPr>
          <w:rFonts w:ascii="宋体" w:hAnsi="宋体" w:eastAsia="宋体" w:cs="宋体"/>
          <w:spacing w:val="12"/>
          <w:sz w:val="24"/>
          <w:highlight w:val="none"/>
        </w:rPr>
        <w:t>完成。</w:t>
      </w:r>
    </w:p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</w:rPr>
        <w:t>3.3竞赛时间</w:t>
      </w:r>
    </w:p>
    <w:p>
      <w:pPr>
        <w:spacing w:before="65" w:line="288" w:lineRule="auto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 xml:space="preserve">理论考试时间为 </w:t>
      </w:r>
      <w:r>
        <w:rPr>
          <w:rFonts w:hint="eastAsia" w:ascii="宋体" w:hAnsi="宋体" w:eastAsia="宋体" w:cs="宋体"/>
          <w:spacing w:val="12"/>
          <w:sz w:val="24"/>
          <w:lang w:val="en-US" w:eastAsia="zh-CN"/>
        </w:rPr>
        <w:t>9</w:t>
      </w:r>
      <w:r>
        <w:rPr>
          <w:rFonts w:hint="eastAsia" w:ascii="宋体" w:hAnsi="宋体" w:eastAsia="宋体" w:cs="宋体"/>
          <w:spacing w:val="12"/>
          <w:sz w:val="24"/>
        </w:rPr>
        <w:t>0分钟，实际操作比赛为 3小时（不含箍筋加工时间）。</w:t>
      </w:r>
    </w:p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</w:rPr>
        <w:t>3.4评价标准</w:t>
      </w:r>
    </w:p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</w:rPr>
        <w:t>3.4.1理论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理论知识比赛包含基础理论知识和钢筋配料单编制两部分。基础理论知识占比50分，题型为单选题和判断题。钢筋配料单编制占比50分，主要从钢筋下料长度计算、钢筋配料单的填写和钢筋放样图的绘制三个方面予以评价。</w:t>
      </w:r>
    </w:p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</w:rPr>
        <w:t>3.4.2实操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</w:rPr>
        <w:t>实操比赛分为钢筋加工和钢筋绑扎两个部分。其中钢筋加工部分只加工</w:t>
      </w:r>
      <w:r>
        <w:rPr>
          <w:rFonts w:hint="eastAsia" w:ascii="宋体" w:hAnsi="宋体" w:eastAsia="宋体" w:cs="宋体"/>
          <w:spacing w:val="12"/>
          <w:sz w:val="24"/>
          <w:highlight w:val="none"/>
        </w:rPr>
        <w:t>柱子箍筋，正式开赛前由组委会组织选手分批进入钢筋加工车间加工完成，限时30分钟，占比20分。要求钢筋下料长度准确，加工成品尺寸准确、美观，钢筋弯折位置合理且操作过程符合安全生产要求。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钢筋绑扎部分为整个基础承台钢筋（带插筋）的绑扎过程，桩基承台主体部分钢筋及柱子主筋</w:t>
      </w:r>
      <w:r>
        <w:rPr>
          <w:rFonts w:hint="eastAsia" w:ascii="宋体" w:hAnsi="宋体" w:eastAsia="宋体" w:cs="宋体"/>
          <w:spacing w:val="12"/>
          <w:sz w:val="24"/>
        </w:rPr>
        <w:t>由组委会在开赛前统一加工制作完成，统一堆放在堆料场地，选手根据自身所编制的钢筋配料单进行寻料，寻料完成后进行安装绑扎工作。要求所制作的构件尺寸准确、形制美观，钢筋的排距、间距、满扎程度、钢筋水平程度和垂直程度、</w:t>
      </w:r>
      <w:r>
        <w:rPr>
          <w:rFonts w:hint="eastAsia" w:ascii="宋体" w:hAnsi="宋体" w:eastAsia="宋体" w:cs="宋体"/>
          <w:spacing w:val="12"/>
          <w:sz w:val="24"/>
          <w:highlight w:val="none"/>
        </w:rPr>
        <w:t>柱箍筋的间距等</w:t>
      </w:r>
      <w:r>
        <w:rPr>
          <w:rFonts w:hint="eastAsia" w:ascii="宋体" w:hAnsi="宋体" w:eastAsia="宋体" w:cs="宋体"/>
          <w:spacing w:val="12"/>
          <w:sz w:val="24"/>
        </w:rPr>
        <w:t>应符合国家相应标准。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备注：详细评分表将在赛前下发。</w:t>
      </w:r>
    </w:p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</w:rPr>
        <w:t>4.竞赛特别规定</w:t>
      </w:r>
    </w:p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</w:rPr>
        <w:t>4.1 赛前</w:t>
      </w:r>
    </w:p>
    <w:p>
      <w:pPr>
        <w:spacing w:before="65" w:line="288" w:lineRule="auto"/>
        <w:ind w:firstLine="528" w:firstLineChars="200"/>
        <w:rPr>
          <w:rFonts w:hint="eastAsia"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1.参赛选手报到时需领取参赛证、参赛资料、参赛物料、抽取参赛选手编号，报到完毕后提前前往赛场，熟悉场地、参加赛前答疑会。具体详见大赛秩序册。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2.赛前30分钟，到指定检录口进行检录，由检录人员核实编号，开赛后迟到15分钟的选手视为自动放弃参赛。参赛选手应携带自备工具，持准考证、身份证及抽取的工位号进入赛场，接受监考裁判对所带物品的检查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3.选手必须将劳动保护用品佩戴齐全。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4.每位选手按照抽签的工位号到指定位置。除可携带竞赛规则规定的工具外，其他工具、设备不允许带入比赛场地。（可携带的工具详见下表）</w:t>
      </w:r>
    </w:p>
    <w:p>
      <w:pPr>
        <w:spacing w:before="65" w:line="288" w:lineRule="auto"/>
        <w:ind w:firstLine="2772" w:firstLineChars="1050"/>
        <w:rPr>
          <w:rFonts w:ascii="宋体" w:hAnsi="宋体" w:eastAsia="宋体" w:cs="宋体"/>
          <w:color w:val="000000" w:themeColor="text1"/>
          <w:spacing w:val="12"/>
          <w:sz w:val="24"/>
        </w:rPr>
      </w:pPr>
      <w:r>
        <w:rPr>
          <w:rFonts w:hint="eastAsia" w:ascii="宋体" w:hAnsi="宋体" w:eastAsia="宋体" w:cs="宋体"/>
          <w:color w:val="000000" w:themeColor="text1"/>
          <w:spacing w:val="12"/>
          <w:sz w:val="24"/>
        </w:rPr>
        <w:t>参赛选手自带工具清单</w:t>
      </w:r>
    </w:p>
    <w:tbl>
      <w:tblPr>
        <w:tblStyle w:val="6"/>
        <w:tblW w:w="88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2543"/>
        <w:gridCol w:w="2231"/>
        <w:gridCol w:w="1472"/>
        <w:gridCol w:w="17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56" w:type="dxa"/>
          </w:tcPr>
          <w:p>
            <w:pPr>
              <w:spacing w:before="176" w:line="229" w:lineRule="auto"/>
              <w:ind w:left="1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2543" w:type="dxa"/>
          </w:tcPr>
          <w:p>
            <w:pPr>
              <w:spacing w:before="175" w:line="232" w:lineRule="auto"/>
              <w:ind w:left="5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材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料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工具名称</w:t>
            </w:r>
          </w:p>
        </w:tc>
        <w:tc>
          <w:tcPr>
            <w:tcW w:w="2231" w:type="dxa"/>
          </w:tcPr>
          <w:p>
            <w:pPr>
              <w:spacing w:before="176" w:line="228" w:lineRule="auto"/>
              <w:ind w:left="9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规格</w:t>
            </w:r>
          </w:p>
        </w:tc>
        <w:tc>
          <w:tcPr>
            <w:tcW w:w="1472" w:type="dxa"/>
          </w:tcPr>
          <w:p>
            <w:pPr>
              <w:spacing w:before="176" w:line="228" w:lineRule="auto"/>
              <w:ind w:left="5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数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量</w:t>
            </w:r>
          </w:p>
        </w:tc>
        <w:tc>
          <w:tcPr>
            <w:tcW w:w="1799" w:type="dxa"/>
          </w:tcPr>
          <w:p>
            <w:pPr>
              <w:spacing w:before="176" w:line="229" w:lineRule="auto"/>
              <w:ind w:left="6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备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56" w:type="dxa"/>
          </w:tcPr>
          <w:p>
            <w:pPr>
              <w:spacing w:before="207" w:line="187" w:lineRule="auto"/>
              <w:ind w:left="3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2543" w:type="dxa"/>
          </w:tcPr>
          <w:p>
            <w:pPr>
              <w:spacing w:before="172" w:line="228" w:lineRule="auto"/>
              <w:ind w:left="7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钢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筋绑扎钩</w:t>
            </w:r>
          </w:p>
        </w:tc>
        <w:tc>
          <w:tcPr>
            <w:tcW w:w="2231" w:type="dxa"/>
          </w:tcPr>
          <w:p>
            <w:pPr>
              <w:spacing w:before="172" w:line="234" w:lineRule="auto"/>
              <w:ind w:left="106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/</w:t>
            </w:r>
          </w:p>
        </w:tc>
        <w:tc>
          <w:tcPr>
            <w:tcW w:w="1472" w:type="dxa"/>
          </w:tcPr>
          <w:p>
            <w:pPr>
              <w:spacing w:before="172" w:line="234" w:lineRule="auto"/>
              <w:ind w:left="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把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56" w:type="dxa"/>
          </w:tcPr>
          <w:p>
            <w:pPr>
              <w:spacing w:before="208" w:line="186" w:lineRule="auto"/>
              <w:ind w:left="33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2</w:t>
            </w:r>
          </w:p>
        </w:tc>
        <w:tc>
          <w:tcPr>
            <w:tcW w:w="2543" w:type="dxa"/>
          </w:tcPr>
          <w:p>
            <w:pPr>
              <w:spacing w:before="172" w:line="228" w:lineRule="auto"/>
              <w:ind w:left="8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划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线 笔</w:t>
            </w:r>
          </w:p>
        </w:tc>
        <w:tc>
          <w:tcPr>
            <w:tcW w:w="2231" w:type="dxa"/>
          </w:tcPr>
          <w:p>
            <w:pPr>
              <w:spacing w:before="172" w:line="228" w:lineRule="auto"/>
              <w:ind w:left="8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水溶性</w:t>
            </w:r>
          </w:p>
        </w:tc>
        <w:tc>
          <w:tcPr>
            <w:tcW w:w="1472" w:type="dxa"/>
          </w:tcPr>
          <w:p>
            <w:pPr>
              <w:spacing w:before="172" w:line="233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根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756" w:type="dxa"/>
          </w:tcPr>
          <w:p>
            <w:pPr>
              <w:spacing w:before="208" w:line="186" w:lineRule="auto"/>
              <w:ind w:left="3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3</w:t>
            </w:r>
          </w:p>
        </w:tc>
        <w:tc>
          <w:tcPr>
            <w:tcW w:w="2543" w:type="dxa"/>
          </w:tcPr>
          <w:p>
            <w:pPr>
              <w:spacing w:before="172" w:line="227" w:lineRule="auto"/>
              <w:ind w:left="8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钢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卷 尺</w:t>
            </w:r>
          </w:p>
        </w:tc>
        <w:tc>
          <w:tcPr>
            <w:tcW w:w="2231" w:type="dxa"/>
          </w:tcPr>
          <w:p>
            <w:pPr>
              <w:spacing w:before="172" w:line="269" w:lineRule="exact"/>
              <w:ind w:left="8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position w:val="1"/>
                <w:sz w:val="20"/>
                <w:szCs w:val="20"/>
              </w:rPr>
              <w:t>3</w:t>
            </w:r>
            <w:r>
              <w:rPr>
                <w:rFonts w:ascii="仿宋" w:hAnsi="仿宋" w:eastAsia="仿宋" w:cs="仿宋"/>
                <w:position w:val="1"/>
                <w:sz w:val="20"/>
                <w:szCs w:val="20"/>
              </w:rPr>
              <w:t>m</w:t>
            </w: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、</w:t>
            </w:r>
            <w:r>
              <w:rPr>
                <w:rFonts w:ascii="仿宋" w:hAnsi="仿宋" w:eastAsia="仿宋" w:cs="仿宋"/>
                <w:spacing w:val="6"/>
                <w:position w:val="1"/>
                <w:sz w:val="20"/>
                <w:szCs w:val="20"/>
              </w:rPr>
              <w:t>5</w:t>
            </w:r>
            <w:r>
              <w:rPr>
                <w:rFonts w:ascii="仿宋" w:hAnsi="仿宋" w:eastAsia="仿宋" w:cs="仿宋"/>
                <w:position w:val="1"/>
                <w:sz w:val="20"/>
                <w:szCs w:val="20"/>
              </w:rPr>
              <w:t>m</w:t>
            </w:r>
          </w:p>
        </w:tc>
        <w:tc>
          <w:tcPr>
            <w:tcW w:w="1472" w:type="dxa"/>
          </w:tcPr>
          <w:p>
            <w:pPr>
              <w:spacing w:before="172" w:line="234" w:lineRule="auto"/>
              <w:ind w:left="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把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56" w:type="dxa"/>
          </w:tcPr>
          <w:p>
            <w:pPr>
              <w:spacing w:before="209" w:line="186" w:lineRule="auto"/>
              <w:ind w:left="32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4</w:t>
            </w:r>
          </w:p>
        </w:tc>
        <w:tc>
          <w:tcPr>
            <w:tcW w:w="2543" w:type="dxa"/>
          </w:tcPr>
          <w:p>
            <w:pPr>
              <w:spacing w:before="173" w:line="228" w:lineRule="auto"/>
              <w:ind w:left="3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装、绝缘鞋、手套</w:t>
            </w:r>
          </w:p>
        </w:tc>
        <w:tc>
          <w:tcPr>
            <w:tcW w:w="2231" w:type="dxa"/>
          </w:tcPr>
          <w:p>
            <w:pPr>
              <w:spacing w:before="173" w:line="228" w:lineRule="auto"/>
              <w:ind w:left="7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劳保用品</w:t>
            </w:r>
          </w:p>
        </w:tc>
        <w:tc>
          <w:tcPr>
            <w:tcW w:w="1472" w:type="dxa"/>
          </w:tcPr>
          <w:p>
            <w:pPr>
              <w:spacing w:before="173" w:line="233" w:lineRule="auto"/>
              <w:ind w:left="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套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56" w:type="dxa"/>
          </w:tcPr>
          <w:p>
            <w:pPr>
              <w:spacing w:before="211" w:line="184" w:lineRule="auto"/>
              <w:ind w:left="3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5</w:t>
            </w:r>
          </w:p>
        </w:tc>
        <w:tc>
          <w:tcPr>
            <w:tcW w:w="2543" w:type="dxa"/>
          </w:tcPr>
          <w:p>
            <w:pPr>
              <w:spacing w:before="173" w:line="228" w:lineRule="auto"/>
              <w:ind w:left="8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防疫口罩</w:t>
            </w:r>
          </w:p>
        </w:tc>
        <w:tc>
          <w:tcPr>
            <w:tcW w:w="2231" w:type="dxa"/>
          </w:tcPr>
          <w:p>
            <w:pPr>
              <w:spacing w:before="173" w:line="228" w:lineRule="auto"/>
              <w:ind w:left="7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疫情专用</w:t>
            </w:r>
          </w:p>
        </w:tc>
        <w:tc>
          <w:tcPr>
            <w:tcW w:w="1472" w:type="dxa"/>
          </w:tcPr>
          <w:p>
            <w:pPr>
              <w:spacing w:before="173" w:line="232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个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56" w:type="dxa"/>
          </w:tcPr>
          <w:p>
            <w:pPr>
              <w:spacing w:before="209" w:line="186" w:lineRule="auto"/>
              <w:ind w:left="33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6</w:t>
            </w:r>
          </w:p>
        </w:tc>
        <w:tc>
          <w:tcPr>
            <w:tcW w:w="2543" w:type="dxa"/>
          </w:tcPr>
          <w:p>
            <w:pPr>
              <w:spacing w:before="173" w:line="228" w:lineRule="auto"/>
              <w:ind w:left="98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中</w:t>
            </w:r>
            <w:r>
              <w:rPr>
                <w:rFonts w:ascii="宋体" w:hAnsi="宋体" w:eastAsia="宋体" w:cs="宋体"/>
                <w:sz w:val="20"/>
                <w:szCs w:val="20"/>
              </w:rPr>
              <w:t>性笔</w:t>
            </w:r>
          </w:p>
        </w:tc>
        <w:tc>
          <w:tcPr>
            <w:tcW w:w="2231" w:type="dxa"/>
          </w:tcPr>
          <w:p>
            <w:pPr>
              <w:spacing w:before="173" w:line="270" w:lineRule="exact"/>
              <w:ind w:left="8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position w:val="1"/>
                <w:sz w:val="20"/>
                <w:szCs w:val="20"/>
              </w:rPr>
              <w:t>0.5</w:t>
            </w:r>
            <w:r>
              <w:rPr>
                <w:rFonts w:ascii="仿宋" w:hAnsi="仿宋" w:eastAsia="仿宋" w:cs="仿宋"/>
                <w:position w:val="1"/>
                <w:sz w:val="20"/>
                <w:szCs w:val="20"/>
              </w:rPr>
              <w:t>mm</w:t>
            </w:r>
          </w:p>
        </w:tc>
        <w:tc>
          <w:tcPr>
            <w:tcW w:w="1472" w:type="dxa"/>
          </w:tcPr>
          <w:p>
            <w:pPr>
              <w:spacing w:before="173" w:line="233" w:lineRule="auto"/>
              <w:ind w:left="3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根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56" w:type="dxa"/>
          </w:tcPr>
          <w:p>
            <w:pPr>
              <w:spacing w:line="336" w:lineRule="auto"/>
              <w:rPr>
                <w:rFonts w:ascii="Arial"/>
              </w:rPr>
            </w:pPr>
          </w:p>
          <w:p>
            <w:pPr>
              <w:spacing w:before="65" w:line="184" w:lineRule="auto"/>
              <w:ind w:left="3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7</w:t>
            </w:r>
          </w:p>
        </w:tc>
        <w:tc>
          <w:tcPr>
            <w:tcW w:w="2543" w:type="dxa"/>
          </w:tcPr>
          <w:p>
            <w:pPr>
              <w:spacing w:before="130" w:line="468" w:lineRule="exact"/>
              <w:ind w:left="7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position w:val="20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7"/>
                <w:position w:val="20"/>
                <w:sz w:val="20"/>
                <w:szCs w:val="20"/>
              </w:rPr>
              <w:t>锈钢直尺</w:t>
            </w:r>
          </w:p>
          <w:p>
            <w:pPr>
              <w:spacing w:line="226" w:lineRule="auto"/>
              <w:ind w:left="7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不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锈钢拐尺</w:t>
            </w:r>
          </w:p>
        </w:tc>
        <w:tc>
          <w:tcPr>
            <w:tcW w:w="2231" w:type="dxa"/>
          </w:tcPr>
          <w:p>
            <w:pPr>
              <w:spacing w:line="298" w:lineRule="auto"/>
              <w:rPr>
                <w:rFonts w:ascii="Arial"/>
              </w:rPr>
            </w:pPr>
          </w:p>
          <w:p>
            <w:pPr>
              <w:spacing w:before="65" w:line="270" w:lineRule="exact"/>
              <w:ind w:left="8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position w:val="1"/>
                <w:sz w:val="20"/>
                <w:szCs w:val="20"/>
              </w:rPr>
              <w:t>5</w:t>
            </w:r>
            <w:r>
              <w:rPr>
                <w:rFonts w:ascii="仿宋" w:hAnsi="仿宋" w:eastAsia="仿宋" w:cs="仿宋"/>
                <w:spacing w:val="4"/>
                <w:position w:val="1"/>
                <w:sz w:val="20"/>
                <w:szCs w:val="20"/>
              </w:rPr>
              <w:t>00</w:t>
            </w:r>
            <w:r>
              <w:rPr>
                <w:rFonts w:ascii="仿宋" w:hAnsi="仿宋" w:eastAsia="仿宋" w:cs="仿宋"/>
                <w:position w:val="1"/>
                <w:sz w:val="20"/>
                <w:szCs w:val="20"/>
              </w:rPr>
              <w:t>mm</w:t>
            </w:r>
          </w:p>
        </w:tc>
        <w:tc>
          <w:tcPr>
            <w:tcW w:w="1472" w:type="dxa"/>
          </w:tcPr>
          <w:p>
            <w:pPr>
              <w:spacing w:line="298" w:lineRule="auto"/>
              <w:rPr>
                <w:rFonts w:ascii="Arial"/>
              </w:rPr>
            </w:pPr>
          </w:p>
          <w:p>
            <w:pPr>
              <w:spacing w:before="65" w:line="234" w:lineRule="auto"/>
              <w:ind w:left="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把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56" w:type="dxa"/>
          </w:tcPr>
          <w:p>
            <w:pPr>
              <w:spacing w:before="212" w:line="186" w:lineRule="auto"/>
              <w:ind w:left="33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8</w:t>
            </w:r>
          </w:p>
        </w:tc>
        <w:tc>
          <w:tcPr>
            <w:tcW w:w="2543" w:type="dxa"/>
          </w:tcPr>
          <w:p>
            <w:pPr>
              <w:spacing w:before="176" w:line="227" w:lineRule="auto"/>
              <w:ind w:left="9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角度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尺</w:t>
            </w:r>
          </w:p>
        </w:tc>
        <w:tc>
          <w:tcPr>
            <w:tcW w:w="2231" w:type="dxa"/>
          </w:tcPr>
          <w:p>
            <w:pPr>
              <w:spacing w:before="176" w:line="227" w:lineRule="auto"/>
              <w:ind w:left="8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角度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尺</w:t>
            </w:r>
          </w:p>
        </w:tc>
        <w:tc>
          <w:tcPr>
            <w:tcW w:w="1472" w:type="dxa"/>
          </w:tcPr>
          <w:p>
            <w:pPr>
              <w:spacing w:before="176" w:line="234" w:lineRule="auto"/>
              <w:ind w:left="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把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56" w:type="dxa"/>
          </w:tcPr>
          <w:p>
            <w:pPr>
              <w:spacing w:before="212" w:line="186" w:lineRule="auto"/>
              <w:ind w:left="33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9</w:t>
            </w:r>
          </w:p>
        </w:tc>
        <w:tc>
          <w:tcPr>
            <w:tcW w:w="2543" w:type="dxa"/>
          </w:tcPr>
          <w:p>
            <w:pPr>
              <w:spacing w:before="176" w:line="227" w:lineRule="auto"/>
              <w:ind w:left="9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三角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板</w:t>
            </w:r>
          </w:p>
        </w:tc>
        <w:tc>
          <w:tcPr>
            <w:tcW w:w="2231" w:type="dxa"/>
          </w:tcPr>
          <w:p>
            <w:pPr>
              <w:spacing w:before="176" w:line="228" w:lineRule="auto"/>
              <w:ind w:left="8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透  明</w:t>
            </w:r>
          </w:p>
        </w:tc>
        <w:tc>
          <w:tcPr>
            <w:tcW w:w="1472" w:type="dxa"/>
          </w:tcPr>
          <w:p>
            <w:pPr>
              <w:spacing w:before="176" w:line="233" w:lineRule="auto"/>
              <w:ind w:left="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套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56" w:type="dxa"/>
          </w:tcPr>
          <w:p>
            <w:pPr>
              <w:spacing w:before="211" w:line="187" w:lineRule="auto"/>
              <w:ind w:left="2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0</w:t>
            </w:r>
          </w:p>
        </w:tc>
        <w:tc>
          <w:tcPr>
            <w:tcW w:w="2543" w:type="dxa"/>
          </w:tcPr>
          <w:p>
            <w:pPr>
              <w:spacing w:before="176" w:line="228" w:lineRule="auto"/>
              <w:ind w:left="9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计算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器</w:t>
            </w:r>
          </w:p>
        </w:tc>
        <w:tc>
          <w:tcPr>
            <w:tcW w:w="2231" w:type="dxa"/>
          </w:tcPr>
          <w:p>
            <w:pPr>
              <w:spacing w:before="176" w:line="228" w:lineRule="auto"/>
              <w:ind w:left="7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位宽屏</w:t>
            </w:r>
          </w:p>
        </w:tc>
        <w:tc>
          <w:tcPr>
            <w:tcW w:w="1472" w:type="dxa"/>
          </w:tcPr>
          <w:p>
            <w:pPr>
              <w:spacing w:before="176" w:line="232" w:lineRule="auto"/>
              <w:ind w:left="3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个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工位</w:t>
            </w:r>
          </w:p>
        </w:tc>
        <w:tc>
          <w:tcPr>
            <w:tcW w:w="1799" w:type="dxa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8801" w:type="dxa"/>
            <w:gridSpan w:val="5"/>
          </w:tcPr>
          <w:p>
            <w:pPr>
              <w:spacing w:before="177" w:line="228" w:lineRule="auto"/>
              <w:ind w:left="9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说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明：参赛选手不得自带上表以外的电动工具、机械和比赛作品所用材料。</w:t>
            </w:r>
          </w:p>
        </w:tc>
      </w:tr>
    </w:tbl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</w:rPr>
        <w:t>4.2 赛中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1.在竞赛过程中，选手应遵守安全操作规程，接受裁判员的监督和警示，确保人身安全及设备安全。</w:t>
      </w:r>
    </w:p>
    <w:p>
      <w:pPr>
        <w:spacing w:before="65" w:line="288" w:lineRule="auto"/>
        <w:ind w:firstLine="528" w:firstLineChars="200"/>
        <w:rPr>
          <w:rFonts w:hint="eastAsia"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2.竞赛过程中严禁交头接耳，也不能相互借用工具。各参赛队伍间不能走动、交谈。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  <w:highlight w:val="none"/>
        </w:rPr>
      </w:pPr>
      <w:r>
        <w:rPr>
          <w:rFonts w:hint="eastAsia" w:ascii="宋体" w:hAnsi="宋体" w:eastAsia="宋体" w:cs="宋体"/>
          <w:spacing w:val="12"/>
          <w:sz w:val="24"/>
          <w:highlight w:val="none"/>
        </w:rPr>
        <w:t>3.钢筋绑扎过程中应有防踩踏措施，严禁直接站立在钢筋骨架上作业；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4.由裁判长统一告知选手比赛规则、时间和流程后，裁判长宣布比赛正式开始并计时。比赛过程中，选手若需休息、饮水或去洗手间，一律计算在操作时间内。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5.选手进入赛场后，不得擅自离开赛场，因病或其他原因离开赛场或终止比赛，应向裁判示意，须经裁判长同意，并在赛场记录表上签字确认后，在赛场工作人员指引下方可离开赛场。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6.因参赛选手个人误操作造成人身安全事故或设备故障时，裁判长有权中止选手竞赛。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7.参赛选手如提前结束竞赛，应举手向裁判员报告，竞赛结束时间由裁判员进行记录。参赛选手结束竞赛后不得再进行任何操作，离场后也不得再进入赛场。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8.裁判长在竞赛结束前30分钟、10分钟进行竞赛剩余时间提醒。裁判长发布竞赛结束指令后，未完成任务的参赛选手应立即停止操作，不得以任何理由拖延竞赛时间，并按要求清理赛位。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9.选手在规定时间内未完成比赛项目的，则按已完成可检测评分项检测评分，其余项按零分计。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10.竞赛过程中，领队、技术指导等不得进入竞赛场地。</w:t>
      </w:r>
    </w:p>
    <w:p>
      <w:pPr>
        <w:spacing w:before="65" w:line="288" w:lineRule="auto"/>
        <w:rPr>
          <w:rFonts w:ascii="宋体" w:hAnsi="宋体" w:eastAsia="宋体" w:cs="宋体"/>
          <w:b/>
          <w:bCs/>
          <w:spacing w:val="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2"/>
          <w:sz w:val="28"/>
          <w:szCs w:val="28"/>
        </w:rPr>
        <w:t>4.3 赛后</w:t>
      </w:r>
    </w:p>
    <w:p>
      <w:pPr>
        <w:spacing w:before="65" w:line="288" w:lineRule="auto"/>
        <w:ind w:firstLine="528" w:firstLineChars="200"/>
        <w:rPr>
          <w:rFonts w:ascii="宋体" w:hAnsi="宋体" w:eastAsia="宋体" w:cs="宋体"/>
          <w:spacing w:val="12"/>
          <w:sz w:val="24"/>
        </w:rPr>
      </w:pPr>
      <w:r>
        <w:rPr>
          <w:rFonts w:hint="eastAsia" w:ascii="宋体" w:hAnsi="宋体" w:eastAsia="宋体" w:cs="宋体"/>
          <w:spacing w:val="12"/>
          <w:sz w:val="24"/>
        </w:rPr>
        <w:t>竞赛结束后，选手要做到工完场清，赛场保洁人员要保障赛场整体的环境卫生，体现安全、整洁、有序，赛场所有废弃物应有效分类并处理，尽可能回收利用。</w:t>
      </w:r>
    </w:p>
    <w:p>
      <w:pPr>
        <w:rPr>
          <w:rFonts w:ascii="宋体" w:hAnsi="宋体" w:eastAsia="宋体" w:cs="宋体"/>
          <w:b/>
          <w:bCs/>
          <w:spacing w:val="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EC3177"/>
    <w:multiLevelType w:val="singleLevel"/>
    <w:tmpl w:val="D6EC317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QwNDFmMzE3YmRhMTYzNTlkZWU3YzA4ZjEzMDQ1MDcifQ=="/>
  </w:docVars>
  <w:rsids>
    <w:rsidRoot w:val="2B477C06"/>
    <w:rsid w:val="00132F42"/>
    <w:rsid w:val="001C7CE5"/>
    <w:rsid w:val="00217756"/>
    <w:rsid w:val="00221055"/>
    <w:rsid w:val="002E4027"/>
    <w:rsid w:val="00352F86"/>
    <w:rsid w:val="00406C4A"/>
    <w:rsid w:val="00414A7D"/>
    <w:rsid w:val="004711D3"/>
    <w:rsid w:val="004E25D2"/>
    <w:rsid w:val="0051418E"/>
    <w:rsid w:val="005F4059"/>
    <w:rsid w:val="006755F2"/>
    <w:rsid w:val="006C2014"/>
    <w:rsid w:val="006E4CEE"/>
    <w:rsid w:val="006F3016"/>
    <w:rsid w:val="0083329F"/>
    <w:rsid w:val="00851F54"/>
    <w:rsid w:val="008917E5"/>
    <w:rsid w:val="00900F64"/>
    <w:rsid w:val="00984121"/>
    <w:rsid w:val="009D7114"/>
    <w:rsid w:val="00A74B8B"/>
    <w:rsid w:val="00B7009B"/>
    <w:rsid w:val="00BA5799"/>
    <w:rsid w:val="00C173A0"/>
    <w:rsid w:val="00C860B7"/>
    <w:rsid w:val="00CA49E2"/>
    <w:rsid w:val="00CD5AFB"/>
    <w:rsid w:val="00CF1C52"/>
    <w:rsid w:val="00D123ED"/>
    <w:rsid w:val="00D80954"/>
    <w:rsid w:val="00EC5BD2"/>
    <w:rsid w:val="00F05611"/>
    <w:rsid w:val="00F223A4"/>
    <w:rsid w:val="00F70586"/>
    <w:rsid w:val="00F74F4C"/>
    <w:rsid w:val="03177800"/>
    <w:rsid w:val="03CB5573"/>
    <w:rsid w:val="047304BE"/>
    <w:rsid w:val="0B5A00BC"/>
    <w:rsid w:val="12BB4FB5"/>
    <w:rsid w:val="14005579"/>
    <w:rsid w:val="15520396"/>
    <w:rsid w:val="1D4D182F"/>
    <w:rsid w:val="1E521923"/>
    <w:rsid w:val="1F3E764A"/>
    <w:rsid w:val="1FB1712C"/>
    <w:rsid w:val="21020B82"/>
    <w:rsid w:val="22637892"/>
    <w:rsid w:val="25755CDB"/>
    <w:rsid w:val="271E423C"/>
    <w:rsid w:val="2B477C06"/>
    <w:rsid w:val="2E493EAA"/>
    <w:rsid w:val="336B0809"/>
    <w:rsid w:val="3911775D"/>
    <w:rsid w:val="3D2560FB"/>
    <w:rsid w:val="3ED2798E"/>
    <w:rsid w:val="4209518C"/>
    <w:rsid w:val="42CE60E9"/>
    <w:rsid w:val="42D9074E"/>
    <w:rsid w:val="46AA5307"/>
    <w:rsid w:val="4DB12E65"/>
    <w:rsid w:val="595E20F3"/>
    <w:rsid w:val="59691107"/>
    <w:rsid w:val="5AD00DCE"/>
    <w:rsid w:val="5F417444"/>
    <w:rsid w:val="60610C28"/>
    <w:rsid w:val="64E75692"/>
    <w:rsid w:val="6F1028C0"/>
    <w:rsid w:val="743E758C"/>
    <w:rsid w:val="78771882"/>
    <w:rsid w:val="7936053E"/>
    <w:rsid w:val="7A484C88"/>
    <w:rsid w:val="A85F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批注框文本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2838</Words>
  <Characters>2965</Characters>
  <Lines>22</Lines>
  <Paragraphs>6</Paragraphs>
  <TotalTime>83</TotalTime>
  <ScaleCrop>false</ScaleCrop>
  <LinksUpToDate>false</LinksUpToDate>
  <CharactersWithSpaces>2999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2022-08-08T14:59:00Z</dcterms:created>
  <dc:creator>申扬帆</dc:creator>
  <cp:lastModifiedBy>Tony</cp:lastModifiedBy>
  <cp:lastPrinted>2022-09-06T03:20:00Z</cp:lastPrinted>
  <dcterms:modified xsi:type="dcterms:W3CDTF">2022-09-29T08:45:07Z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AA5E93FB24604F1FA76AACC4F275AA8C</vt:lpwstr>
  </property>
</Properties>
</file>